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1304A3"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49669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78815"/>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9C6FE8">
        <w:tc>
          <w:tcPr>
            <w:tcW w:w="4075" w:type="dxa"/>
            <w:gridSpan w:val="2"/>
            <w:shd w:val="clear" w:color="auto" w:fill="auto"/>
          </w:tcPr>
          <w:p w:rsidR="009D72AA" w:rsidRPr="00E73D2F" w:rsidRDefault="009D72AA" w:rsidP="005E314D">
            <w:pPr>
              <w:rPr>
                <w:rFonts w:ascii="Arial" w:hAnsi="Arial"/>
              </w:rPr>
            </w:pPr>
            <w:r w:rsidRPr="00E73D2F">
              <w:rPr>
                <w:rFonts w:ascii="Arial" w:hAnsi="Arial"/>
                <w:b/>
              </w:rPr>
              <w:t>Officer:</w:t>
            </w:r>
            <w:r w:rsidR="00CE022F">
              <w:rPr>
                <w:rFonts w:ascii="Arial" w:hAnsi="Arial"/>
                <w:b/>
              </w:rPr>
              <w:t xml:space="preserve"> </w:t>
            </w:r>
            <w:r w:rsidR="005C44CF">
              <w:rPr>
                <w:rFonts w:ascii="Arial" w:hAnsi="Arial"/>
              </w:rPr>
              <w:t xml:space="preserve"> Sarah Troman</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p>
          <w:p w:rsidR="00136429" w:rsidRPr="00E73D2F" w:rsidRDefault="00136429" w:rsidP="00373837">
            <w:pPr>
              <w:rPr>
                <w:rFonts w:ascii="Arial" w:hAnsi="Arial"/>
              </w:rPr>
            </w:pPr>
          </w:p>
        </w:tc>
      </w:tr>
      <w:tr w:rsidR="00586F20" w:rsidRPr="00E73D2F" w:rsidTr="009C6FE8">
        <w:tc>
          <w:tcPr>
            <w:tcW w:w="9115" w:type="dxa"/>
            <w:gridSpan w:val="3"/>
            <w:shd w:val="clear" w:color="auto" w:fill="auto"/>
          </w:tcPr>
          <w:p w:rsidR="00154649" w:rsidRDefault="00586F20" w:rsidP="00E524AE">
            <w:pPr>
              <w:rPr>
                <w:rFonts w:ascii="Arial" w:hAnsi="Arial"/>
                <w:b/>
              </w:rPr>
            </w:pPr>
            <w:r w:rsidRPr="00E73D2F">
              <w:rPr>
                <w:rFonts w:ascii="Arial" w:hAnsi="Arial"/>
                <w:b/>
              </w:rPr>
              <w:t xml:space="preserve">Title/Reference: </w:t>
            </w:r>
            <w:r w:rsidR="004D3C01">
              <w:rPr>
                <w:rFonts w:ascii="Arial" w:hAnsi="Arial"/>
                <w:b/>
              </w:rPr>
              <w:t>Woburn Road Open Space – Supply and installation of</w:t>
            </w:r>
            <w:r w:rsidR="006F6CB6">
              <w:rPr>
                <w:rFonts w:ascii="Arial" w:hAnsi="Arial"/>
                <w:b/>
              </w:rPr>
              <w:t xml:space="preserve"> new play equipment</w:t>
            </w:r>
          </w:p>
          <w:p w:rsidR="00E74CDA" w:rsidRPr="00E73D2F" w:rsidRDefault="00557B22" w:rsidP="003A5C6D">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525635">
              <w:rPr>
                <w:rFonts w:ascii="Arial" w:hAnsi="Arial"/>
              </w:rPr>
              <w:t>22/09/NS</w:t>
            </w:r>
          </w:p>
        </w:tc>
      </w:tr>
      <w:tr w:rsidR="00586F20" w:rsidRPr="00E73D2F" w:rsidTr="009C6FE8">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9C6FE8">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6F6CB6" w:rsidRDefault="006F6CB6" w:rsidP="00373837">
            <w:pPr>
              <w:jc w:val="both"/>
              <w:rPr>
                <w:rFonts w:ascii="Arial" w:hAnsi="Arial"/>
                <w:b/>
              </w:rPr>
            </w:pPr>
          </w:p>
          <w:p w:rsidR="002924C5" w:rsidRDefault="009C6FE8" w:rsidP="00373837">
            <w:pPr>
              <w:jc w:val="both"/>
              <w:rPr>
                <w:rFonts w:ascii="Arial" w:hAnsi="Arial" w:cs="Arial"/>
              </w:rPr>
            </w:pPr>
            <w:r w:rsidRPr="009C6FE8">
              <w:rPr>
                <w:rFonts w:ascii="Arial" w:hAnsi="Arial" w:cs="Arial"/>
              </w:rPr>
              <w:t xml:space="preserve">That the Development Manager is given authority </w:t>
            </w:r>
            <w:r w:rsidR="002924C5">
              <w:rPr>
                <w:rFonts w:ascii="Arial" w:hAnsi="Arial" w:cs="Arial"/>
              </w:rPr>
              <w:t>to commence a procurement exercise in line within the existing procurement guidelines</w:t>
            </w:r>
            <w:r w:rsidR="006F6CB6">
              <w:rPr>
                <w:rFonts w:ascii="Arial" w:hAnsi="Arial" w:cs="Arial"/>
              </w:rPr>
              <w:t xml:space="preserve"> to obtain a minimum of three quotes for </w:t>
            </w:r>
            <w:r w:rsidR="0004089F">
              <w:rPr>
                <w:rFonts w:ascii="Arial" w:hAnsi="Arial" w:cs="Arial"/>
              </w:rPr>
              <w:t xml:space="preserve">the </w:t>
            </w:r>
            <w:r w:rsidR="006F6CB6">
              <w:rPr>
                <w:rFonts w:ascii="Arial" w:hAnsi="Arial" w:cs="Arial"/>
              </w:rPr>
              <w:t xml:space="preserve">supply and installation of additional </w:t>
            </w:r>
            <w:r w:rsidR="0004089F">
              <w:rPr>
                <w:rFonts w:ascii="Arial" w:hAnsi="Arial" w:cs="Arial"/>
              </w:rPr>
              <w:t>play equipment for</w:t>
            </w:r>
            <w:r w:rsidR="006F6CB6">
              <w:rPr>
                <w:rFonts w:ascii="Arial" w:hAnsi="Arial" w:cs="Arial"/>
              </w:rPr>
              <w:t xml:space="preserve"> 8 to 14 years of age</w:t>
            </w:r>
            <w:r w:rsidR="004D3C01">
              <w:rPr>
                <w:rFonts w:ascii="Arial" w:hAnsi="Arial" w:cs="Arial"/>
              </w:rPr>
              <w:t xml:space="preserve"> outside of the existing toddlers play area and a toddlers roundabout within the toddlers play area</w:t>
            </w:r>
            <w:r w:rsidR="006F6CB6">
              <w:rPr>
                <w:rFonts w:ascii="Arial" w:hAnsi="Arial" w:cs="Arial"/>
              </w:rPr>
              <w:t xml:space="preserve">. </w:t>
            </w:r>
            <w:r w:rsidR="0004089F">
              <w:rPr>
                <w:rFonts w:ascii="Arial" w:hAnsi="Arial" w:cs="Arial"/>
              </w:rPr>
              <w:t xml:space="preserve">The </w:t>
            </w:r>
            <w:r w:rsidR="006F6CB6">
              <w:rPr>
                <w:rFonts w:ascii="Arial" w:hAnsi="Arial" w:cs="Arial"/>
              </w:rPr>
              <w:t xml:space="preserve">Parks Development Officer </w:t>
            </w:r>
            <w:r w:rsidR="002924C5">
              <w:rPr>
                <w:rFonts w:ascii="Arial" w:hAnsi="Arial" w:cs="Arial"/>
              </w:rPr>
              <w:t>will</w:t>
            </w:r>
            <w:r w:rsidR="004D3C01">
              <w:rPr>
                <w:rFonts w:ascii="Arial" w:hAnsi="Arial" w:cs="Arial"/>
              </w:rPr>
              <w:t xml:space="preserve"> lead this project and has</w:t>
            </w:r>
            <w:r w:rsidR="0004089F">
              <w:rPr>
                <w:rFonts w:ascii="Arial" w:hAnsi="Arial" w:cs="Arial"/>
              </w:rPr>
              <w:t xml:space="preserve"> produce</w:t>
            </w:r>
            <w:r w:rsidR="004D3C01">
              <w:rPr>
                <w:rFonts w:ascii="Arial" w:hAnsi="Arial" w:cs="Arial"/>
              </w:rPr>
              <w:t>d</w:t>
            </w:r>
            <w:r w:rsidR="006F6CB6">
              <w:rPr>
                <w:rFonts w:ascii="Arial" w:hAnsi="Arial" w:cs="Arial"/>
              </w:rPr>
              <w:t xml:space="preserve"> the </w:t>
            </w:r>
            <w:r w:rsidR="002924C5">
              <w:rPr>
                <w:rFonts w:ascii="Arial" w:hAnsi="Arial" w:cs="Arial"/>
              </w:rPr>
              <w:t xml:space="preserve">relevant procurement documents </w:t>
            </w:r>
            <w:r w:rsidR="006F6CB6">
              <w:rPr>
                <w:rFonts w:ascii="Arial" w:hAnsi="Arial" w:cs="Arial"/>
              </w:rPr>
              <w:t xml:space="preserve">such as the RFQ document </w:t>
            </w:r>
            <w:r w:rsidR="002924C5">
              <w:rPr>
                <w:rFonts w:ascii="Arial" w:hAnsi="Arial" w:cs="Arial"/>
              </w:rPr>
              <w:t>to go out</w:t>
            </w:r>
            <w:r w:rsidR="006F6CB6">
              <w:rPr>
                <w:rFonts w:ascii="Arial" w:hAnsi="Arial" w:cs="Arial"/>
              </w:rPr>
              <w:t xml:space="preserve"> for quotations</w:t>
            </w:r>
            <w:r w:rsidR="0053314F">
              <w:rPr>
                <w:rFonts w:ascii="Arial" w:hAnsi="Arial" w:cs="Arial"/>
              </w:rPr>
              <w:t>.</w:t>
            </w:r>
          </w:p>
          <w:p w:rsidR="0053314F" w:rsidRDefault="0053314F" w:rsidP="00373837">
            <w:pPr>
              <w:jc w:val="both"/>
              <w:rPr>
                <w:rFonts w:ascii="Arial" w:hAnsi="Arial" w:cs="Arial"/>
              </w:rPr>
            </w:pPr>
          </w:p>
          <w:p w:rsidR="00762D5A" w:rsidRPr="009C6FE8" w:rsidRDefault="002924C5" w:rsidP="00373837">
            <w:pPr>
              <w:jc w:val="both"/>
              <w:rPr>
                <w:rFonts w:ascii="Arial" w:hAnsi="Arial" w:cs="Arial"/>
                <w:b/>
              </w:rPr>
            </w:pPr>
            <w:r>
              <w:rPr>
                <w:rFonts w:ascii="Arial" w:hAnsi="Arial" w:cs="Arial"/>
              </w:rPr>
              <w:t>Following the procurement process</w:t>
            </w:r>
            <w:r w:rsidR="004D3C01">
              <w:rPr>
                <w:rFonts w:ascii="Arial" w:hAnsi="Arial" w:cs="Arial"/>
              </w:rPr>
              <w:t>,</w:t>
            </w:r>
            <w:r>
              <w:rPr>
                <w:rFonts w:ascii="Arial" w:hAnsi="Arial" w:cs="Arial"/>
              </w:rPr>
              <w:t xml:space="preserve"> </w:t>
            </w:r>
            <w:r w:rsidR="00C906DA">
              <w:rPr>
                <w:rFonts w:ascii="Arial" w:hAnsi="Arial" w:cs="Arial"/>
              </w:rPr>
              <w:t>that the Development manager is given authority to award the contract and</w:t>
            </w:r>
            <w:r>
              <w:rPr>
                <w:rFonts w:ascii="Arial" w:hAnsi="Arial" w:cs="Arial"/>
              </w:rPr>
              <w:t xml:space="preserve"> i</w:t>
            </w:r>
            <w:r w:rsidR="009C6FE8" w:rsidRPr="009C6FE8">
              <w:rPr>
                <w:rFonts w:ascii="Arial" w:hAnsi="Arial" w:cs="Arial"/>
              </w:rPr>
              <w:t>nstruct the Shared Legal Service to draft and finalise the necessary contract documentation</w:t>
            </w:r>
            <w:r>
              <w:rPr>
                <w:rFonts w:ascii="Arial" w:hAnsi="Arial" w:cs="Arial"/>
              </w:rPr>
              <w:t xml:space="preserve"> with the selected contractor</w:t>
            </w:r>
            <w:r w:rsidR="009C6FE8" w:rsidRPr="009C6FE8">
              <w:rPr>
                <w:rFonts w:ascii="Arial" w:hAnsi="Arial" w:cs="Arial"/>
              </w:rPr>
              <w:t xml:space="preserve"> and to enter into any warranties and agreements that may reasonably be necessary to enable completion of the </w:t>
            </w:r>
            <w:r w:rsidR="006F6CB6">
              <w:rPr>
                <w:rFonts w:ascii="Arial" w:hAnsi="Arial" w:cs="Arial"/>
              </w:rPr>
              <w:t xml:space="preserve">supply and installation </w:t>
            </w:r>
            <w:r w:rsidR="009C6FE8" w:rsidRPr="009C6FE8">
              <w:rPr>
                <w:rFonts w:ascii="Arial" w:hAnsi="Arial" w:cs="Arial"/>
              </w:rPr>
              <w:t>works.</w:t>
            </w:r>
            <w:r>
              <w:rPr>
                <w:rFonts w:ascii="Arial" w:hAnsi="Arial" w:cs="Arial"/>
              </w:rPr>
              <w:t xml:space="preserve"> </w:t>
            </w:r>
          </w:p>
          <w:p w:rsidR="00154649" w:rsidRDefault="00154649" w:rsidP="00373837">
            <w:pPr>
              <w:jc w:val="both"/>
              <w:rPr>
                <w:rFonts w:ascii="Arial" w:hAnsi="Arial"/>
                <w:b/>
              </w:rPr>
            </w:pPr>
          </w:p>
          <w:p w:rsidR="00136429" w:rsidRPr="00E73D2F" w:rsidRDefault="00136429" w:rsidP="00373837">
            <w:pPr>
              <w:jc w:val="both"/>
              <w:rPr>
                <w:rFonts w:ascii="Arial" w:hAnsi="Arial"/>
              </w:rPr>
            </w:pPr>
          </w:p>
        </w:tc>
      </w:tr>
      <w:tr w:rsidR="003D5331" w:rsidRPr="00E73D2F" w:rsidTr="009C6FE8">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r w:rsidR="00B121EE">
              <w:rPr>
                <w:rFonts w:ascii="Arial" w:hAnsi="Arial"/>
                <w:b/>
              </w:rPr>
              <w:t xml:space="preserve">  </w:t>
            </w:r>
          </w:p>
          <w:p w:rsidR="0053314F" w:rsidRDefault="0053314F" w:rsidP="003D5331">
            <w:pPr>
              <w:rPr>
                <w:rFonts w:ascii="Arial" w:hAnsi="Arial"/>
                <w:b/>
              </w:rPr>
            </w:pPr>
          </w:p>
          <w:p w:rsidR="0053314F" w:rsidRPr="000D4E4D" w:rsidRDefault="0053314F" w:rsidP="0053314F">
            <w:pPr>
              <w:rPr>
                <w:rFonts w:ascii="Arial" w:hAnsi="Arial"/>
              </w:rPr>
            </w:pPr>
            <w:r w:rsidRPr="000D4E4D">
              <w:rPr>
                <w:rFonts w:ascii="Arial" w:hAnsi="Arial"/>
              </w:rPr>
              <w:t>The Head of Neighbourhood Services has delegated authority within the Constitution as follows:</w:t>
            </w:r>
          </w:p>
          <w:p w:rsidR="0053314F" w:rsidRPr="000D4E4D" w:rsidRDefault="0053314F" w:rsidP="0053314F">
            <w:pPr>
              <w:rPr>
                <w:rFonts w:ascii="Arial" w:hAnsi="Arial"/>
              </w:rPr>
            </w:pPr>
          </w:p>
          <w:p w:rsidR="0053314F" w:rsidRPr="000D4E4D" w:rsidRDefault="0053314F" w:rsidP="0053314F">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9C6FE8">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p w:rsidR="008D4EBC" w:rsidRPr="00E73D2F" w:rsidRDefault="008D4EBC" w:rsidP="008D4EBC">
            <w:pPr>
              <w:rPr>
                <w:rFonts w:ascii="Arial" w:hAnsi="Arial"/>
                <w:b/>
              </w:rPr>
            </w:pPr>
          </w:p>
        </w:tc>
      </w:tr>
      <w:tr w:rsidR="00E524AE" w:rsidRPr="00E73D2F" w:rsidTr="009C6FE8">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D72A1D" w:rsidRPr="009C6FE8" w:rsidRDefault="00E524AE" w:rsidP="00D72A1D">
            <w:pPr>
              <w:jc w:val="both"/>
              <w:rPr>
                <w:rFonts w:ascii="Arial" w:hAnsi="Arial" w:cs="Arial"/>
              </w:rPr>
            </w:pPr>
            <w:r w:rsidRPr="00E73D2F">
              <w:rPr>
                <w:rFonts w:ascii="Arial" w:hAnsi="Arial"/>
                <w:b/>
              </w:rPr>
              <w:t xml:space="preserve">Finance: </w:t>
            </w:r>
            <w:r w:rsidR="0004089F" w:rsidRPr="0004089F">
              <w:rPr>
                <w:rFonts w:ascii="Arial" w:hAnsi="Arial"/>
              </w:rPr>
              <w:t>The capital funding</w:t>
            </w:r>
            <w:r w:rsidR="0004089F">
              <w:rPr>
                <w:rFonts w:ascii="Arial" w:hAnsi="Arial"/>
              </w:rPr>
              <w:t>/budget</w:t>
            </w:r>
            <w:r w:rsidR="006F6CB6" w:rsidRPr="0004089F">
              <w:rPr>
                <w:rFonts w:ascii="Arial" w:hAnsi="Arial"/>
              </w:rPr>
              <w:t xml:space="preserve"> for this project is</w:t>
            </w:r>
            <w:r w:rsidR="004D3C01">
              <w:rPr>
                <w:rFonts w:ascii="Arial" w:hAnsi="Arial"/>
              </w:rPr>
              <w:t xml:space="preserve"> £40</w:t>
            </w:r>
            <w:r w:rsidR="0004089F" w:rsidRPr="0004089F">
              <w:rPr>
                <w:rFonts w:ascii="Arial" w:hAnsi="Arial"/>
              </w:rPr>
              <w:t>,000 from</w:t>
            </w:r>
            <w:r w:rsidR="006F6CB6" w:rsidRPr="0004089F">
              <w:rPr>
                <w:rFonts w:ascii="Arial" w:hAnsi="Arial"/>
              </w:rPr>
              <w:t xml:space="preserve"> S106 contributions (Ref </w:t>
            </w:r>
            <w:r w:rsidR="0004089F" w:rsidRPr="0004089F">
              <w:rPr>
                <w:rFonts w:ascii="Arial" w:hAnsi="Arial"/>
              </w:rPr>
              <w:t>249 Pleasley Hill)</w:t>
            </w:r>
            <w:r w:rsidR="0004089F">
              <w:rPr>
                <w:rFonts w:ascii="Arial" w:hAnsi="Arial"/>
                <w:b/>
              </w:rPr>
              <w:t xml:space="preserve"> </w:t>
            </w:r>
          </w:p>
          <w:p w:rsidR="00E524AE" w:rsidRPr="00E73D2F" w:rsidRDefault="00E524AE" w:rsidP="00122023">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8F26A7" w:rsidRPr="008F26A7">
              <w:rPr>
                <w:rFonts w:ascii="Arial" w:hAnsi="Arial"/>
              </w:rPr>
              <w:t xml:space="preserve">No implications on the Council. </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8F26A7" w:rsidRPr="009C6FE8">
              <w:rPr>
                <w:rFonts w:ascii="Arial" w:hAnsi="Arial" w:cs="Arial"/>
              </w:rPr>
              <w:t>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E524AE" w:rsidRPr="00CE022F" w:rsidRDefault="008F26A7" w:rsidP="008F26A7">
            <w:pPr>
              <w:rPr>
                <w:rFonts w:ascii="Arial" w:hAnsi="Arial"/>
              </w:rPr>
            </w:pPr>
            <w:r w:rsidRPr="008F26A7">
              <w:rPr>
                <w:rFonts w:ascii="Arial" w:hAnsi="Arial"/>
              </w:rPr>
              <w:t xml:space="preserve">It is considered that the proposed actions are fair and equitable in their content and are not discriminative on the grounds of equality </w:t>
            </w:r>
            <w:r w:rsidRPr="008F26A7">
              <w:rPr>
                <w:rFonts w:ascii="Arial" w:hAnsi="Arial"/>
              </w:rPr>
              <w:lastRenderedPageBreak/>
              <w:t>and human rights.</w:t>
            </w:r>
            <w:r w:rsidR="0004089F">
              <w:rPr>
                <w:rFonts w:ascii="Arial" w:hAnsi="Arial"/>
              </w:rPr>
              <w:t xml:space="preserve"> Elements of the new play provisions will include some inclusive play.</w:t>
            </w:r>
          </w:p>
          <w:p w:rsidR="00E524AE" w:rsidRPr="00E524AE" w:rsidRDefault="00E524AE" w:rsidP="003D5331">
            <w:pPr>
              <w:rPr>
                <w:rFonts w:ascii="Arial" w:hAnsi="Arial"/>
                <w:b/>
              </w:rPr>
            </w:pPr>
          </w:p>
        </w:tc>
      </w:tr>
      <w:tr w:rsidR="003D5331" w:rsidRPr="00E73D2F" w:rsidTr="009C6FE8">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lastRenderedPageBreak/>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w:t>
            </w:r>
          </w:p>
          <w:p w:rsidR="00E74CDA" w:rsidRPr="00E73D2F" w:rsidRDefault="00E74CDA" w:rsidP="003D5331">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5C44CF"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5C44CF">
              <w:rPr>
                <w:rFonts w:ascii="Arial" w:hAnsi="Arial"/>
              </w:rPr>
              <w:t>No comments</w:t>
            </w:r>
          </w:p>
          <w:p w:rsidR="00E74CDA" w:rsidRPr="00E73D2F" w:rsidRDefault="00E74CDA" w:rsidP="00E524AE">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5C44CF" w:rsidRDefault="003D5331" w:rsidP="009C6FE8">
            <w:pPr>
              <w:rPr>
                <w:rFonts w:ascii="Arial" w:hAnsi="Arial"/>
              </w:rPr>
            </w:pPr>
            <w:r w:rsidRPr="00E73D2F">
              <w:rPr>
                <w:rFonts w:ascii="Arial" w:hAnsi="Arial"/>
                <w:b/>
              </w:rPr>
              <w:t>Section 151 Officer:</w:t>
            </w:r>
            <w:r w:rsidR="00A64365">
              <w:rPr>
                <w:rFonts w:ascii="Arial" w:hAnsi="Arial"/>
                <w:b/>
              </w:rPr>
              <w:t xml:space="preserve"> </w:t>
            </w:r>
            <w:r w:rsidR="005C44CF">
              <w:rPr>
                <w:rFonts w:ascii="Arial" w:hAnsi="Arial"/>
              </w:rPr>
              <w:t>No comments</w:t>
            </w:r>
          </w:p>
        </w:tc>
      </w:tr>
      <w:tr w:rsidR="00046933" w:rsidRPr="00E73D2F" w:rsidTr="009C6FE8">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8D4EBC" w:rsidRPr="00E73D2F" w:rsidRDefault="00B33B4D" w:rsidP="003D5331">
            <w:pPr>
              <w:rPr>
                <w:rFonts w:ascii="Arial" w:hAnsi="Arial"/>
                <w:b/>
              </w:rPr>
            </w:pPr>
            <w:r>
              <w:rPr>
                <w:rFonts w:ascii="Arial" w:hAnsi="Arial"/>
                <w:b/>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BA" w:rsidRDefault="002049BA">
      <w:r>
        <w:separator/>
      </w:r>
    </w:p>
  </w:endnote>
  <w:endnote w:type="continuationSeparator" w:id="0">
    <w:p w:rsidR="002049BA" w:rsidRDefault="0020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BA" w:rsidRDefault="002049BA">
      <w:r>
        <w:separator/>
      </w:r>
    </w:p>
  </w:footnote>
  <w:footnote w:type="continuationSeparator" w:id="0">
    <w:p w:rsidR="002049BA" w:rsidRDefault="00204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089F"/>
    <w:rsid w:val="00045346"/>
    <w:rsid w:val="000462DC"/>
    <w:rsid w:val="00046933"/>
    <w:rsid w:val="000511FB"/>
    <w:rsid w:val="000553E6"/>
    <w:rsid w:val="000C2E4B"/>
    <w:rsid w:val="000C6565"/>
    <w:rsid w:val="000C7A93"/>
    <w:rsid w:val="00122023"/>
    <w:rsid w:val="001304A3"/>
    <w:rsid w:val="00136429"/>
    <w:rsid w:val="001461EA"/>
    <w:rsid w:val="00154649"/>
    <w:rsid w:val="00165587"/>
    <w:rsid w:val="001B14D0"/>
    <w:rsid w:val="001E73CC"/>
    <w:rsid w:val="002049BA"/>
    <w:rsid w:val="00207CD0"/>
    <w:rsid w:val="00284ECD"/>
    <w:rsid w:val="002924C5"/>
    <w:rsid w:val="002A4CC2"/>
    <w:rsid w:val="002B18B7"/>
    <w:rsid w:val="002D6E1E"/>
    <w:rsid w:val="002E4C1F"/>
    <w:rsid w:val="002E566A"/>
    <w:rsid w:val="002E79DF"/>
    <w:rsid w:val="00362485"/>
    <w:rsid w:val="00362D1E"/>
    <w:rsid w:val="00373837"/>
    <w:rsid w:val="003A04B0"/>
    <w:rsid w:val="003A5C6D"/>
    <w:rsid w:val="003A747B"/>
    <w:rsid w:val="003D1EFF"/>
    <w:rsid w:val="003D5331"/>
    <w:rsid w:val="004251A2"/>
    <w:rsid w:val="0042662A"/>
    <w:rsid w:val="004437AD"/>
    <w:rsid w:val="004A4997"/>
    <w:rsid w:val="004A4D03"/>
    <w:rsid w:val="004D3C01"/>
    <w:rsid w:val="004E47C6"/>
    <w:rsid w:val="00525635"/>
    <w:rsid w:val="0053314F"/>
    <w:rsid w:val="00557B22"/>
    <w:rsid w:val="00586F20"/>
    <w:rsid w:val="005B43AC"/>
    <w:rsid w:val="005C44CF"/>
    <w:rsid w:val="005E314D"/>
    <w:rsid w:val="005F66FF"/>
    <w:rsid w:val="00640F4F"/>
    <w:rsid w:val="00693778"/>
    <w:rsid w:val="006C36F8"/>
    <w:rsid w:val="006F6CB6"/>
    <w:rsid w:val="00721168"/>
    <w:rsid w:val="00762D5A"/>
    <w:rsid w:val="00771E5A"/>
    <w:rsid w:val="00783F4C"/>
    <w:rsid w:val="00793D98"/>
    <w:rsid w:val="007B7BFB"/>
    <w:rsid w:val="008D4EBC"/>
    <w:rsid w:val="008F26A7"/>
    <w:rsid w:val="00993D2B"/>
    <w:rsid w:val="009A6278"/>
    <w:rsid w:val="009B6FB1"/>
    <w:rsid w:val="009C3E0D"/>
    <w:rsid w:val="009C6FE8"/>
    <w:rsid w:val="009D72AA"/>
    <w:rsid w:val="00A33258"/>
    <w:rsid w:val="00A64365"/>
    <w:rsid w:val="00A93773"/>
    <w:rsid w:val="00AE68C9"/>
    <w:rsid w:val="00B01B98"/>
    <w:rsid w:val="00B121EE"/>
    <w:rsid w:val="00B33B4D"/>
    <w:rsid w:val="00B8478B"/>
    <w:rsid w:val="00BB1318"/>
    <w:rsid w:val="00BB48D6"/>
    <w:rsid w:val="00BD6C14"/>
    <w:rsid w:val="00C61517"/>
    <w:rsid w:val="00C906DA"/>
    <w:rsid w:val="00CE022F"/>
    <w:rsid w:val="00D512D3"/>
    <w:rsid w:val="00D64C94"/>
    <w:rsid w:val="00D70FF0"/>
    <w:rsid w:val="00D72A1D"/>
    <w:rsid w:val="00DF5B3E"/>
    <w:rsid w:val="00DF795C"/>
    <w:rsid w:val="00E268A5"/>
    <w:rsid w:val="00E4397C"/>
    <w:rsid w:val="00E524AE"/>
    <w:rsid w:val="00E73048"/>
    <w:rsid w:val="00E73D2F"/>
    <w:rsid w:val="00E74CDA"/>
    <w:rsid w:val="00EA57CD"/>
    <w:rsid w:val="00EB1E25"/>
    <w:rsid w:val="00F15170"/>
    <w:rsid w:val="00F7436D"/>
    <w:rsid w:val="00FA3657"/>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CE67A"/>
  <w15:chartTrackingRefBased/>
  <w15:docId w15:val="{70DD75D7-4BFD-4FBE-8C5C-E526F0AF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2923</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2022-02-02T10:27:00Z</dcterms:created>
  <dcterms:modified xsi:type="dcterms:W3CDTF">2022-02-02T15:47:00Z</dcterms:modified>
</cp:coreProperties>
</file>